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40" w:before="240" w:line="276" w:lineRule="auto"/>
        <w:ind w:firstLine="720"/>
        <w:rPr>
          <w:rFonts w:ascii="Arial" w:cs="Arial" w:eastAsia="Arial" w:hAnsi="Arial"/>
        </w:rPr>
      </w:pPr>
      <w:r w:rsidDel="00000000" w:rsidR="00000000" w:rsidRPr="00000000">
        <w:rPr>
          <w:rFonts w:ascii="Arial" w:cs="Arial" w:eastAsia="Arial" w:hAnsi="Arial"/>
          <w:rtl w:val="0"/>
        </w:rPr>
        <w:t xml:space="preserve">The City of Springfield hosted its fourth annual Community Clean-Up Day on May 31, 2025, offering residents a free and convenient way to dispose of unwanted household items. The event was held on W. Jefferson Avenue, where 17 dumpsters—ranging from 30-yard to 40-yard containers—were stationed throughout the drop-off zone. Over the course of the four-hour window, a total of 49 dumpsters were rotated: 26 were 40-yard containers and 23 were 30-yard containers. This volume reflected a strong turnout and emphasized the ongoing community need for accessible disposal services.</w:t>
      </w:r>
    </w:p>
    <w:p w:rsidR="00000000" w:rsidDel="00000000" w:rsidP="00000000" w:rsidRDefault="00000000" w:rsidRPr="00000000" w14:paraId="00000003">
      <w:pPr>
        <w:spacing w:after="240" w:before="240" w:line="276" w:lineRule="auto"/>
        <w:ind w:firstLine="720"/>
        <w:rPr>
          <w:rFonts w:ascii="Arial" w:cs="Arial" w:eastAsia="Arial" w:hAnsi="Arial"/>
        </w:rPr>
      </w:pPr>
      <w:r w:rsidDel="00000000" w:rsidR="00000000" w:rsidRPr="00000000">
        <w:rPr>
          <w:rFonts w:ascii="Arial" w:cs="Arial" w:eastAsia="Arial" w:hAnsi="Arial"/>
          <w:rtl w:val="0"/>
        </w:rPr>
        <w:t xml:space="preserve">During the event, staff distributed surveys to gather feedback from participants. While most individuals filled out one survey, several returned to the site more than once. A total of 209 surveys were collected. Survey responses indicated that 33% of participants came from the 45503 zip code, followed by 22% from 45506, 15% from 45504, and 0.04% from 45502. This distribution shows widespread participation across Springfield, with especially high engagement in the central neighborhoods.</w:t>
      </w:r>
    </w:p>
    <w:p w:rsidR="00000000" w:rsidDel="00000000" w:rsidP="00000000" w:rsidRDefault="00000000" w:rsidRPr="00000000" w14:paraId="00000004">
      <w:pPr>
        <w:spacing w:after="240" w:before="240" w:line="276" w:lineRule="auto"/>
        <w:ind w:firstLine="720"/>
        <w:rPr>
          <w:rFonts w:ascii="Arial" w:cs="Arial" w:eastAsia="Arial" w:hAnsi="Arial"/>
        </w:rPr>
      </w:pPr>
      <w:r w:rsidDel="00000000" w:rsidR="00000000" w:rsidRPr="00000000">
        <w:rPr>
          <w:rFonts w:ascii="Arial" w:cs="Arial" w:eastAsia="Arial" w:hAnsi="Arial"/>
          <w:rtl w:val="0"/>
        </w:rPr>
        <w:t xml:space="preserve">Participants reported 212 individual clean-up areas, the majority of which were at single-family homes. While many respondents cleaned up around their own properties, several individuals reported also collecting items from multiple locations in their neighborhood or from nearby alleyways, demonstrating a broader commitment to improving their community. Of those surveyed, 203 confirmed having active trash service, while 5 reported no service—citing reasons such as neighbor or condo association coverage, recycling drop-off preferences, or homelessness. A total of 310 categories were logged as collected during the event, including 105 vehicles dropped off bulk furniture, 82 dropped off general trash, 59 dropped off tires, 39 dropped off appliances, and 26 dropped off yard waste. </w:t>
      </w:r>
    </w:p>
    <w:p w:rsidR="00000000" w:rsidDel="00000000" w:rsidP="00000000" w:rsidRDefault="00000000" w:rsidRPr="00000000" w14:paraId="00000005">
      <w:pPr>
        <w:spacing w:after="240" w:before="240" w:line="276" w:lineRule="auto"/>
        <w:ind w:firstLine="720"/>
        <w:rPr>
          <w:rFonts w:ascii="Arial" w:cs="Arial" w:eastAsia="Arial" w:hAnsi="Arial"/>
        </w:rPr>
      </w:pPr>
      <w:r w:rsidDel="00000000" w:rsidR="00000000" w:rsidRPr="00000000">
        <w:rPr>
          <w:rFonts w:ascii="Arial" w:cs="Arial" w:eastAsia="Arial" w:hAnsi="Arial"/>
          <w:rtl w:val="0"/>
        </w:rPr>
        <w:t xml:space="preserve">Community feedback was overwhelmingly supportive of the program and included a wide range of suggestions for improvement. The most common request was to hold the event more frequently, with many asking for two or more events per year. Participants also requested longer hours, better traffic control, and multiple drop-off sites to ease congestion. Several residents suggested alternative or additional locations such as the Fairgrounds, Sunset Avenue, and Springfield High School. Others emphasized the need for more targeted outreach, clearer  signage, and volunteer coordination. A few participants recommended offering curbside bulk pick-up, accepting paint and chemicals, or setting aside reusable items for community reuse.</w:t>
      </w:r>
    </w:p>
    <w:p w:rsidR="00000000" w:rsidDel="00000000" w:rsidP="00000000" w:rsidRDefault="00000000" w:rsidRPr="00000000" w14:paraId="00000006">
      <w:pPr>
        <w:spacing w:after="240" w:before="240" w:line="276" w:lineRule="auto"/>
        <w:ind w:firstLine="720"/>
        <w:rPr/>
        <w:sectPr>
          <w:headerReference r:id="rId7" w:type="default"/>
          <w:headerReference r:id="rId8" w:type="first"/>
          <w:footerReference r:id="rId9" w:type="default"/>
          <w:footerReference r:id="rId10" w:type="first"/>
          <w:pgSz w:h="15840" w:w="12240" w:orient="portrait"/>
          <w:pgMar w:bottom="1440" w:top="1440" w:left="1440" w:right="1440" w:header="720" w:footer="0"/>
          <w:pgNumType w:start="1"/>
          <w:titlePg w:val="1"/>
        </w:sectPr>
      </w:pPr>
      <w:r w:rsidDel="00000000" w:rsidR="00000000" w:rsidRPr="00000000">
        <w:rPr>
          <w:rFonts w:ascii="Arial" w:cs="Arial" w:eastAsia="Arial" w:hAnsi="Arial"/>
          <w:rtl w:val="0"/>
        </w:rPr>
        <w:t xml:space="preserve">Overall, the 2025 Community Clean-Up Day was a success. High participation numbers, large item disposal totals, and consistent feedback point to a growing demand for this service. Residents value the opportunity to clean up their homes and neighborhoods, and their input provides a strong foundation for expanding and improving future clean-up efforts.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headerReference r:id="rId11" w:type="default"/>
      <w:footerReference r:id="rId12" w:type="default"/>
      <w:type w:val="continuous"/>
      <w:pgSz w:h="15840" w:w="12240" w:orient="portrait"/>
      <w:pgMar w:bottom="1440" w:top="144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-228599</wp:posOffset>
              </wp:positionH>
              <wp:positionV relativeFrom="paragraph">
                <wp:posOffset>50800</wp:posOffset>
              </wp:positionV>
              <wp:extent cx="0" cy="38100"/>
              <wp:effectExtent b="0" l="0" r="0" t="0"/>
              <wp:wrapNone/>
              <wp:docPr id="10" name=""/>
              <a:graphic>
                <a:graphicData uri="http://schemas.microsoft.com/office/word/2010/wordprocessingShape">
                  <wps:wsp>
                    <wps:cNvCnPr/>
                    <wps:spPr>
                      <a:xfrm>
                        <a:off x="2145600" y="3780000"/>
                        <a:ext cx="6400800" cy="0"/>
                      </a:xfrm>
                      <a:prstGeom prst="straightConnector1">
                        <a:avLst/>
                      </a:prstGeom>
                      <a:noFill/>
                      <a:ln cap="flat" cmpd="sng" w="38100">
                        <a:solidFill>
                          <a:srgbClr val="00B0F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50800</wp:posOffset>
              </wp:positionV>
              <wp:extent cx="0" cy="38100"/>
              <wp:effectExtent b="0" l="0" r="0" t="0"/>
              <wp:wrapNone/>
              <wp:docPr id="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381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-228599</wp:posOffset>
              </wp:positionH>
              <wp:positionV relativeFrom="paragraph">
                <wp:posOffset>147320</wp:posOffset>
              </wp:positionV>
              <wp:extent cx="6410325" cy="370840"/>
              <wp:effectExtent b="0" l="0" r="0" t="0"/>
              <wp:wrapSquare wrapText="bothSides" distB="45720" distT="45720" distL="114300" distR="114300"/>
              <wp:docPr id="11" name=""/>
              <a:graphic>
                <a:graphicData uri="http://schemas.microsoft.com/office/word/2010/wordprocessingShape">
                  <wps:wsp>
                    <wps:cNvSpPr/>
                    <wps:cNvPr id="3" name="Shape 3"/>
                    <wps:spPr>
                      <a:xfrm>
                        <a:off x="2145600" y="3599343"/>
                        <a:ext cx="6400800" cy="361315"/>
                      </a:xfrm>
                      <a:prstGeom prst="rect">
                        <a:avLst/>
                      </a:prstGeom>
                      <a:solidFill>
                        <a:srgbClr val="FFFFFF"/>
                      </a:solidFill>
                      <a:ln>
                        <a:noFill/>
                      </a:ln>
                    </wps:spPr>
                    <wps:txbx>
                      <w:txbxContent>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delle Sans" w:cs="Adelle Sans" w:eastAsia="Adelle Sans" w:hAnsi="Adelle Sans"/>
                              <w:b w:val="0"/>
                              <w:i w:val="0"/>
                              <w:smallCaps w:val="0"/>
                              <w:strike w:val="0"/>
                              <w:color w:val="003863"/>
                              <w:sz w:val="21"/>
                              <w:vertAlign w:val="baseline"/>
                            </w:rPr>
                            <w:t xml:space="preserve">76 E. High St. - Springfield, OH 45502      937-324-7380    springfieldohio.gov</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Adelle Sans" w:cs="Adelle Sans" w:eastAsia="Adelle Sans" w:hAnsi="Adelle Sans"/>
                              <w:b w:val="0"/>
                              <w:i w:val="0"/>
                              <w:smallCaps w:val="0"/>
                              <w:strike w:val="0"/>
                              <w:color w:val="003863"/>
                              <w:sz w:val="21"/>
                              <w:vertAlign w:val="baseline"/>
                            </w:rPr>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Adelle Sans" w:cs="Adelle Sans" w:eastAsia="Adelle Sans" w:hAnsi="Adelle Sans"/>
                              <w:b w:val="0"/>
                              <w:i w:val="0"/>
                              <w:smallCaps w:val="0"/>
                              <w:strike w:val="0"/>
                              <w:color w:val="003863"/>
                              <w:sz w:val="21"/>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delle Sans" w:cs="Adelle Sans" w:eastAsia="Adelle Sans" w:hAnsi="Adelle Sans"/>
                              <w:b w:val="0"/>
                              <w:i w:val="0"/>
                              <w:smallCaps w:val="0"/>
                              <w:strike w:val="0"/>
                              <w:color w:val="003863"/>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-228599</wp:posOffset>
              </wp:positionH>
              <wp:positionV relativeFrom="paragraph">
                <wp:posOffset>147320</wp:posOffset>
              </wp:positionV>
              <wp:extent cx="6410325" cy="370840"/>
              <wp:effectExtent b="0" l="0" r="0" t="0"/>
              <wp:wrapSquare wrapText="bothSides" distB="45720" distT="45720" distL="114300" distR="114300"/>
              <wp:docPr id="1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410325" cy="370840"/>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42"/>
        <w:szCs w:val="4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4267200</wp:posOffset>
          </wp:positionH>
          <wp:positionV relativeFrom="paragraph">
            <wp:posOffset>-95249</wp:posOffset>
          </wp:positionV>
          <wp:extent cx="2128838" cy="1195976"/>
          <wp:effectExtent b="0" l="0" r="0" t="0"/>
          <wp:wrapNone/>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28838" cy="1195976"/>
                  </a:xfrm>
                  <a:prstGeom prst="rect"/>
                  <a:ln/>
                </pic:spPr>
              </pic:pic>
            </a:graphicData>
          </a:graphic>
        </wp:anchor>
      </w:draw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42"/>
        <w:szCs w:val="42"/>
      </w:rPr>
    </w:pPr>
    <w:r w:rsidDel="00000000" w:rsidR="00000000" w:rsidRPr="00000000">
      <w:rPr>
        <w:rFonts w:ascii="Arial" w:cs="Arial" w:eastAsia="Arial" w:hAnsi="Arial"/>
        <w:sz w:val="42"/>
        <w:szCs w:val="42"/>
        <w:rtl w:val="0"/>
      </w:rPr>
      <w:t xml:space="preserve">Community Clean-Up 2025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42"/>
        <w:szCs w:val="42"/>
      </w:rPr>
    </w:pPr>
    <w:r w:rsidDel="00000000" w:rsidR="00000000" w:rsidRPr="00000000">
      <w:rPr>
        <w:rFonts w:ascii="Arial" w:cs="Arial" w:eastAsia="Arial" w:hAnsi="Arial"/>
        <w:sz w:val="42"/>
        <w:szCs w:val="42"/>
        <w:rtl w:val="0"/>
      </w:rPr>
      <w:t xml:space="preserve">           Survey Results</w:t>
    </w:r>
  </w:p>
  <w:p w:rsidR="00000000" w:rsidDel="00000000" w:rsidP="00000000" w:rsidRDefault="00000000" w:rsidRPr="00000000" w14:paraId="0000000D">
    <w:pPr>
      <w:tabs>
        <w:tab w:val="center" w:leader="none" w:pos="4680"/>
        <w:tab w:val="right" w:leader="none" w:pos="9360"/>
      </w:tabs>
      <w:spacing w:line="240" w:lineRule="auto"/>
      <w:jc w:val="right"/>
      <w:rPr>
        <w:rFonts w:ascii="Arial" w:cs="Arial" w:eastAsia="Arial" w:hAnsi="Arial"/>
        <w:sz w:val="42"/>
        <w:szCs w:val="4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3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uiPriority w:val="99"/>
    <w:semiHidden w:val="1"/>
    <w:unhideWhenUsed w:val="1"/>
    <w:rsid w:val="00447AA3"/>
    <w:pPr>
      <w:framePr w:lines="0" w:w="7920" w:h="1980" w:hSpace="180" w:wrap="auto" w:hAnchor="page" w:xAlign="center" w:yAlign="bottom" w:hRule="exact"/>
      <w:ind w:left="2880"/>
    </w:pPr>
    <w:rPr>
      <w:rFonts w:ascii="KG Ten Thousand Reasons" w:hAnsi="KG Ten Thousand Reasons" w:cstheme="majorBidi" w:eastAsiaTheme="majorEastAsia"/>
      <w:b w:val="1"/>
      <w:sz w:val="28"/>
      <w:szCs w:val="24"/>
    </w:rPr>
  </w:style>
  <w:style w:type="paragraph" w:styleId="Header">
    <w:name w:val="header"/>
    <w:basedOn w:val="Normal"/>
    <w:link w:val="HeaderChar"/>
    <w:uiPriority w:val="99"/>
    <w:unhideWhenUsed w:val="1"/>
    <w:rsid w:val="0014182D"/>
    <w:pPr>
      <w:tabs>
        <w:tab w:val="center" w:pos="4680"/>
        <w:tab w:val="right" w:pos="9360"/>
      </w:tabs>
      <w:spacing w:line="240" w:lineRule="auto"/>
    </w:pPr>
  </w:style>
  <w:style w:type="character" w:styleId="HeaderChar" w:customStyle="1">
    <w:name w:val="Header Char"/>
    <w:basedOn w:val="DefaultParagraphFont"/>
    <w:link w:val="Header"/>
    <w:uiPriority w:val="99"/>
    <w:rsid w:val="0014182D"/>
  </w:style>
  <w:style w:type="paragraph" w:styleId="Footer">
    <w:name w:val="footer"/>
    <w:basedOn w:val="Normal"/>
    <w:link w:val="FooterChar"/>
    <w:uiPriority w:val="99"/>
    <w:unhideWhenUsed w:val="1"/>
    <w:rsid w:val="0014182D"/>
    <w:pPr>
      <w:tabs>
        <w:tab w:val="center" w:pos="4680"/>
        <w:tab w:val="right" w:pos="9360"/>
      </w:tabs>
      <w:spacing w:line="240" w:lineRule="auto"/>
    </w:pPr>
  </w:style>
  <w:style w:type="character" w:styleId="FooterChar" w:customStyle="1">
    <w:name w:val="Footer Char"/>
    <w:basedOn w:val="DefaultParagraphFont"/>
    <w:link w:val="Footer"/>
    <w:uiPriority w:val="99"/>
    <w:rsid w:val="0014182D"/>
  </w:style>
  <w:style w:type="paragraph" w:styleId="BasicParagraph" w:customStyle="1">
    <w:name w:val="[Basic Paragraph]"/>
    <w:basedOn w:val="Normal"/>
    <w:uiPriority w:val="99"/>
    <w:rsid w:val="0014182D"/>
    <w:pPr>
      <w:autoSpaceDE w:val="0"/>
      <w:autoSpaceDN w:val="0"/>
      <w:adjustRightInd w:val="0"/>
      <w:spacing w:line="288" w:lineRule="auto"/>
      <w:textAlignment w:val="center"/>
    </w:pPr>
    <w:rPr>
      <w:rFonts w:ascii="MinionPro-Regular" w:cs="MinionPro-Regular" w:hAnsi="MinionPro-Regular" w:eastAsiaTheme="minorEastAsia"/>
      <w:color w:val="000000"/>
      <w:sz w:val="24"/>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I2qh/eIUVmu52i/3Zw8jXWXSw==">CgMxLjA4AHIhMWlIWlQ1c3B5Nms2VENLTi1uc0swdk9CaTljMGhCUnJK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2020-05-26T14:46:00Z</dcterms:created>
  <dc:creator>Regina Jeffers</dc:creator>
</cp:coreProperties>
</file>